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color w:val="FF0000"/>
          <w:spacing w:val="60"/>
          <w:sz w:val="100"/>
          <w:szCs w:val="100"/>
        </w:rPr>
      </w:pPr>
      <w:bookmarkStart w:id="0" w:name="_GoBack"/>
      <w:bookmarkEnd w:id="0"/>
      <w:r>
        <w:rPr>
          <w:rFonts w:hint="default" w:ascii="Times New Roman" w:hAnsi="Times New Roman" w:eastAsia="黑体" w:cs="Times New Roman"/>
          <w:b/>
          <w:color w:val="FF0000"/>
          <w:spacing w:val="60"/>
          <w:sz w:val="100"/>
          <w:szCs w:val="100"/>
        </w:rPr>
        <mc:AlternateContent>
          <mc:Choice Requires="wps">
            <w:drawing>
              <wp:anchor distT="0" distB="0" distL="114300" distR="114300" simplePos="0" relativeHeight="251659264" behindDoc="0" locked="0" layoutInCell="1" allowOverlap="1">
                <wp:simplePos x="0" y="0"/>
                <wp:positionH relativeFrom="column">
                  <wp:posOffset>-151130</wp:posOffset>
                </wp:positionH>
                <wp:positionV relativeFrom="paragraph">
                  <wp:posOffset>983615</wp:posOffset>
                </wp:positionV>
                <wp:extent cx="5546725" cy="0"/>
                <wp:effectExtent l="0" t="28575" r="15875" b="28575"/>
                <wp:wrapNone/>
                <wp:docPr id="2" name="直接连接符 2"/>
                <wp:cNvGraphicFramePr/>
                <a:graphic xmlns:a="http://schemas.openxmlformats.org/drawingml/2006/main">
                  <a:graphicData uri="http://schemas.microsoft.com/office/word/2010/wordprocessingShape">
                    <wps:wsp>
                      <wps:cNvCnPr/>
                      <wps:spPr>
                        <a:xfrm>
                          <a:off x="0" y="0"/>
                          <a:ext cx="5546725" cy="0"/>
                        </a:xfrm>
                        <a:prstGeom prst="line">
                          <a:avLst/>
                        </a:prstGeom>
                        <a:ln w="57150" cap="flat" cmpd="thickThin">
                          <a:solidFill>
                            <a:srgbClr val="FF6600"/>
                          </a:solidFill>
                          <a:prstDash val="solid"/>
                          <a:headEnd type="none" w="med" len="med"/>
                          <a:tailEnd type="none" w="med" len="med"/>
                        </a:ln>
                      </wps:spPr>
                      <wps:bodyPr upright="1"/>
                    </wps:wsp>
                  </a:graphicData>
                </a:graphic>
              </wp:anchor>
            </w:drawing>
          </mc:Choice>
          <mc:Fallback>
            <w:pict>
              <v:line id="直接连接符 2" o:spid="_x0000_s1026" o:spt="20" style="position:absolute;left:0pt;margin-left:-11.9pt;margin-top:77.45pt;height:0pt;width:436.75pt;z-index:251659264;mso-width-relative:page;mso-height-relative:page;" filled="f" stroked="t" coordsize="21600,21600" o:gfxdata="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ASuK9gAAAALAQAADwAAAAAAAAABACAAAAAiAAAAZHJzL2Rvd25yZXYu&#10;eG1sUEsBAhQAFAAAAAgAh07iQOKxzdL7AQAA6wMAAA4AAAAAAAAAAQAgAAAAJwEAAGRycy9lMm9E&#10;b2MueG1sUEsFBgAAAAAGAAYAWQEAAJQFAAAAAA==&#10;">
                <v:fill on="f" focussize="0,0"/>
                <v:stroke weight="4.5pt" color="#FF6600" linestyle="thickThin" joinstyle="round"/>
                <v:imagedata o:title=""/>
                <o:lock v:ext="edit" aspectratio="f"/>
              </v:line>
            </w:pict>
          </mc:Fallback>
        </mc:AlternateContent>
      </w:r>
      <w:r>
        <w:rPr>
          <w:rFonts w:hint="default" w:ascii="Times New Roman" w:hAnsi="Times New Roman" w:eastAsia="黑体" w:cs="Times New Roman"/>
          <w:b/>
          <w:color w:val="FF0000"/>
          <w:spacing w:val="60"/>
          <w:sz w:val="100"/>
          <w:szCs w:val="100"/>
        </w:rPr>
        <w:t>邵阳学院教务处</w:t>
      </w:r>
    </w:p>
    <w:p>
      <w:pPr>
        <w:spacing w:after="100" w:afterAutospacing="1"/>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bCs/>
          <w:kern w:val="10"/>
          <w:sz w:val="32"/>
          <w:szCs w:val="32"/>
        </w:rPr>
        <w:t>邵院教通〔202</w:t>
      </w:r>
      <w:r>
        <w:rPr>
          <w:rFonts w:hint="eastAsia" w:ascii="Times New Roman" w:hAnsi="Times New Roman" w:eastAsia="仿宋" w:cs="Times New Roman"/>
          <w:bCs/>
          <w:kern w:val="10"/>
          <w:sz w:val="32"/>
          <w:szCs w:val="32"/>
          <w:lang w:val="en-US" w:eastAsia="zh-CN"/>
        </w:rPr>
        <w:t>5</w:t>
      </w:r>
      <w:r>
        <w:rPr>
          <w:rFonts w:hint="default" w:ascii="Times New Roman" w:hAnsi="Times New Roman" w:eastAsia="仿宋" w:cs="Times New Roman"/>
          <w:bCs/>
          <w:kern w:val="10"/>
          <w:sz w:val="32"/>
          <w:szCs w:val="32"/>
        </w:rPr>
        <w:t>〕</w:t>
      </w:r>
      <w:r>
        <w:rPr>
          <w:rFonts w:hint="eastAsia" w:ascii="Times New Roman" w:hAnsi="Times New Roman" w:eastAsia="仿宋" w:cs="Times New Roman"/>
          <w:bCs/>
          <w:kern w:val="10"/>
          <w:sz w:val="32"/>
          <w:szCs w:val="32"/>
          <w:lang w:val="en-US" w:eastAsia="zh-CN"/>
        </w:rPr>
        <w:t xml:space="preserve"> 56   </w:t>
      </w:r>
      <w:r>
        <w:rPr>
          <w:rFonts w:hint="default" w:ascii="Times New Roman" w:hAnsi="Times New Roman" w:eastAsia="仿宋" w:cs="Times New Roman"/>
          <w:bCs/>
          <w:kern w:val="10"/>
          <w:sz w:val="32"/>
          <w:szCs w:val="32"/>
        </w:rPr>
        <w:t>号</w:t>
      </w:r>
    </w:p>
    <w:p>
      <w:pPr>
        <w:jc w:val="center"/>
        <w:rPr>
          <w:rFonts w:hint="default" w:ascii="Times New Roman" w:hAnsi="Times New Roman" w:eastAsia="仿宋" w:cs="Times New Roman"/>
          <w:spacing w:val="-11"/>
          <w:sz w:val="32"/>
          <w:szCs w:val="32"/>
        </w:rPr>
      </w:pPr>
      <w:r>
        <w:rPr>
          <w:rFonts w:hint="default" w:ascii="Times New Roman" w:hAnsi="Times New Roman" w:eastAsia="黑体" w:cs="Times New Roman"/>
          <w:spacing w:val="-11"/>
          <w:sz w:val="44"/>
          <w:szCs w:val="44"/>
        </w:rPr>
        <w:t>关于批准范寒等</w:t>
      </w:r>
      <w:r>
        <w:rPr>
          <w:rFonts w:hint="eastAsia" w:ascii="Times New Roman" w:hAnsi="Times New Roman" w:eastAsia="黑体" w:cs="Times New Roman"/>
          <w:spacing w:val="-11"/>
          <w:sz w:val="44"/>
          <w:szCs w:val="44"/>
          <w:lang w:val="en-US" w:eastAsia="zh-CN"/>
        </w:rPr>
        <w:t>129</w:t>
      </w:r>
      <w:r>
        <w:rPr>
          <w:rFonts w:hint="default" w:ascii="Times New Roman" w:hAnsi="Times New Roman" w:eastAsia="黑体" w:cs="Times New Roman"/>
          <w:spacing w:val="-11"/>
          <w:sz w:val="44"/>
          <w:szCs w:val="44"/>
        </w:rPr>
        <w:t>名学生转专业申请的通知</w:t>
      </w:r>
    </w:p>
    <w:p>
      <w:pPr>
        <w:ind w:firstLine="640" w:firstLineChars="200"/>
        <w:rPr>
          <w:rFonts w:hint="default" w:ascii="Times New Roman" w:hAnsi="Times New Roman" w:eastAsia="仿宋" w:cs="Times New Roman"/>
          <w:sz w:val="32"/>
          <w:szCs w:val="32"/>
        </w:rPr>
      </w:pP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各二级学院、各部门：</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根据《普通高等学校学生管理规定》(中华人民共和国教育部令第41号）《邵阳学院学生学籍管理规定》（邵院政字〔2024〕66号）</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关于做好202</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秋</w:t>
      </w:r>
      <w:r>
        <w:rPr>
          <w:rFonts w:hint="default" w:ascii="Times New Roman" w:hAnsi="Times New Roman" w:eastAsia="仿宋_GB2312" w:cs="Times New Roman"/>
          <w:kern w:val="0"/>
          <w:sz w:val="32"/>
          <w:szCs w:val="32"/>
        </w:rPr>
        <w:t>季本科学生转专业工作的通知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（邵院教通〔202</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53</w:t>
      </w:r>
      <w:r>
        <w:rPr>
          <w:rFonts w:hint="default" w:ascii="Times New Roman" w:hAnsi="Times New Roman" w:eastAsia="仿宋_GB2312" w:cs="Times New Roman"/>
          <w:kern w:val="0"/>
          <w:sz w:val="32"/>
          <w:szCs w:val="32"/>
        </w:rPr>
        <w:t>号）要求，经学生本人申请、所在学院和拟转入学院审</w:t>
      </w:r>
      <w:r>
        <w:rPr>
          <w:rFonts w:hint="default" w:ascii="Times New Roman" w:hAnsi="Times New Roman" w:eastAsia="仿宋_GB2312" w:cs="Times New Roman"/>
          <w:kern w:val="0"/>
          <w:sz w:val="32"/>
          <w:szCs w:val="32"/>
          <w:lang w:val="en-US" w:eastAsia="zh-CN"/>
        </w:rPr>
        <w:t>核</w:t>
      </w:r>
      <w:r>
        <w:rPr>
          <w:rFonts w:hint="default" w:ascii="Times New Roman" w:hAnsi="Times New Roman" w:eastAsia="仿宋_GB2312" w:cs="Times New Roman"/>
          <w:kern w:val="0"/>
          <w:sz w:val="32"/>
          <w:szCs w:val="32"/>
        </w:rPr>
        <w:t>，教务处复核，校长办公会</w:t>
      </w:r>
      <w:r>
        <w:rPr>
          <w:rFonts w:hint="default" w:ascii="Times New Roman" w:hAnsi="Times New Roman" w:eastAsia="仿宋_GB2312" w:cs="Times New Roman"/>
          <w:kern w:val="0"/>
          <w:sz w:val="32"/>
          <w:szCs w:val="32"/>
          <w:lang w:val="en-US" w:eastAsia="zh-CN"/>
        </w:rPr>
        <w:t>审定</w:t>
      </w:r>
      <w:r>
        <w:rPr>
          <w:rFonts w:hint="default" w:ascii="Times New Roman" w:hAnsi="Times New Roman" w:eastAsia="仿宋_GB2312" w:cs="Times New Roman"/>
          <w:kern w:val="0"/>
          <w:sz w:val="32"/>
          <w:szCs w:val="32"/>
        </w:rPr>
        <w:t>，同意范寒等129名学生转专业的申请（具体名单见附件）。</w:t>
      </w:r>
      <w:r>
        <w:rPr>
          <w:rFonts w:hint="default" w:ascii="Times New Roman" w:hAnsi="Times New Roman" w:eastAsia="仿宋_GB2312" w:cs="Times New Roman"/>
          <w:sz w:val="32"/>
          <w:szCs w:val="32"/>
        </w:rPr>
        <w:t>现就202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秋</w:t>
      </w:r>
      <w:r>
        <w:rPr>
          <w:rFonts w:hint="default" w:ascii="Times New Roman" w:hAnsi="Times New Roman" w:eastAsia="仿宋_GB2312" w:cs="Times New Roman"/>
          <w:sz w:val="32"/>
          <w:szCs w:val="32"/>
        </w:rPr>
        <w:t>季本科学生办理转专业的有关事项通知如下：</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1.批准转专业的学生</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日登陆教务管理系统查看学籍异动情况确认新班级信息。</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2.学生转专业后，必须严格按照转入专业的人才培养方案修读课程。</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各转入学院做好成绩认定工作。对于在原专业所学的课程，如学时数和基本要求相当于或高于转入专业相应课程，则承认该课程的成绩。课程成绩认定严格按照学校规定及学生所学专业人才培养方案的要求，由各二级学院组织专家审核认定，自觉接受学校纪委监督。专家及二级学院负责人签署意见后报教务处核准。</w:t>
      </w:r>
    </w:p>
    <w:p>
      <w:pPr>
        <w:tabs>
          <w:tab w:val="left" w:pos="0"/>
        </w:tabs>
        <w:spacing w:before="50" w:after="50" w:line="520" w:lineRule="exact"/>
        <w:ind w:firstLine="640" w:firstLineChars="200"/>
        <w:jc w:val="left"/>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转入专业培养计划中有要求而未修读且不能进行成绩认定的课程，学生必须另行修读并申请考试。</w:t>
      </w:r>
      <w:r>
        <w:rPr>
          <w:rFonts w:hint="default" w:ascii="Times New Roman" w:hAnsi="Times New Roman" w:eastAsia="仿宋_GB2312" w:cs="Times New Roman"/>
          <w:b/>
          <w:bCs/>
          <w:sz w:val="32"/>
          <w:szCs w:val="32"/>
        </w:rPr>
        <w:t>请各二级学院及时告知学生转入专业人才培养方案中现阶段应修读却未修读的课程，并合理安排学生参加学习和考试。</w:t>
      </w:r>
      <w:r>
        <w:rPr>
          <w:rFonts w:hint="default" w:ascii="Times New Roman" w:hAnsi="Times New Roman" w:eastAsia="仿宋_GB2312" w:cs="Times New Roman"/>
          <w:sz w:val="32"/>
          <w:szCs w:val="32"/>
        </w:rPr>
        <w:t>如学生不按要求修读相关课程，一切后果由学生本人承担。</w:t>
      </w:r>
    </w:p>
    <w:p>
      <w:pPr>
        <w:tabs>
          <w:tab w:val="left" w:pos="0"/>
        </w:tabs>
        <w:spacing w:before="50" w:after="50" w:line="520" w:lineRule="exact"/>
        <w:ind w:firstLine="640" w:firstLineChars="200"/>
        <w:jc w:val="left"/>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b/>
          <w:bCs/>
          <w:sz w:val="32"/>
          <w:szCs w:val="32"/>
        </w:rPr>
        <w:t xml:space="preserve">请二级学院将通知精神及时告知相关学生并留档备查。如因通知不到位造成不良影响的，由相关责任人承担。      </w:t>
      </w:r>
      <w:r>
        <w:rPr>
          <w:rFonts w:hint="default" w:ascii="Times New Roman" w:hAnsi="Times New Roman" w:eastAsia="仿宋_GB2312" w:cs="Times New Roman"/>
          <w:sz w:val="32"/>
          <w:szCs w:val="32"/>
        </w:rPr>
        <w:t xml:space="preserve">          </w:t>
      </w:r>
    </w:p>
    <w:p>
      <w:pPr>
        <w:spacing w:line="520" w:lineRule="exact"/>
        <w:ind w:firstLine="640" w:firstLineChars="200"/>
        <w:rPr>
          <w:rFonts w:hint="default" w:ascii="Times New Roman" w:hAnsi="Times New Roman" w:eastAsia="仿宋_GB2312" w:cs="Times New Roman"/>
          <w:sz w:val="32"/>
          <w:szCs w:val="32"/>
        </w:rPr>
      </w:pP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附件：邵阳学院202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秋</w:t>
      </w:r>
      <w:r>
        <w:rPr>
          <w:rFonts w:hint="default" w:ascii="Times New Roman" w:hAnsi="Times New Roman" w:eastAsia="仿宋_GB2312" w:cs="Times New Roman"/>
          <w:sz w:val="32"/>
          <w:szCs w:val="32"/>
        </w:rPr>
        <w:t>季批准转专业的学生名单</w:t>
      </w:r>
    </w:p>
    <w:p>
      <w:pPr>
        <w:spacing w:line="520" w:lineRule="exact"/>
        <w:ind w:firstLine="640" w:firstLineChars="200"/>
        <w:rPr>
          <w:rFonts w:hint="default" w:ascii="Times New Roman" w:hAnsi="Times New Roman" w:eastAsia="仿宋_GB2312" w:cs="Times New Roman"/>
          <w:sz w:val="32"/>
          <w:szCs w:val="32"/>
        </w:rPr>
      </w:pPr>
    </w:p>
    <w:p>
      <w:pPr>
        <w:spacing w:line="520" w:lineRule="exact"/>
        <w:ind w:firstLine="640" w:firstLineChars="200"/>
        <w:rPr>
          <w:rFonts w:hint="default" w:ascii="Times New Roman" w:hAnsi="Times New Roman" w:eastAsia="仿宋_GB2312" w:cs="Times New Roman"/>
          <w:sz w:val="32"/>
          <w:szCs w:val="32"/>
        </w:rPr>
      </w:pPr>
    </w:p>
    <w:p>
      <w:pPr>
        <w:spacing w:line="52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邵阳学院教务处</w:t>
      </w:r>
    </w:p>
    <w:p>
      <w:pPr>
        <w:spacing w:line="520" w:lineRule="exact"/>
        <w:ind w:firstLine="640" w:firstLineChars="200"/>
        <w:jc w:val="right"/>
        <w:rPr>
          <w:rFonts w:hint="default" w:ascii="Times New Roman" w:hAnsi="Times New Roman" w:eastAsia="仿宋_GB2312" w:cs="Times New Roman"/>
          <w:sz w:val="32"/>
          <w:szCs w:val="32"/>
        </w:rPr>
        <w:sectPr>
          <w:headerReference r:id="rId3" w:type="default"/>
          <w:footerReference r:id="rId4" w:type="default"/>
          <w:pgSz w:w="11906" w:h="16838"/>
          <w:pgMar w:top="1327" w:right="1633" w:bottom="1213" w:left="1746" w:header="851" w:footer="992" w:gutter="0"/>
          <w:pgNumType w:fmt="numberInDash"/>
          <w:cols w:space="720" w:num="1"/>
          <w:docGrid w:type="lines" w:linePitch="312" w:charSpace="0"/>
        </w:sect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w:t>
      </w:r>
    </w:p>
    <w:p>
      <w:pPr>
        <w:spacing w:line="360" w:lineRule="exact"/>
        <w:ind w:left="0" w:leftChars="-202" w:right="237" w:rightChars="113" w:hanging="424" w:hangingChars="177"/>
        <w:jc w:val="left"/>
        <w:rPr>
          <w:rFonts w:hint="default" w:ascii="Times New Roman" w:hAnsi="Times New Roman" w:eastAsia="黑体" w:cs="Times New Roman"/>
          <w:sz w:val="24"/>
        </w:rPr>
      </w:pPr>
      <w:r>
        <w:rPr>
          <w:rFonts w:hint="default" w:ascii="Times New Roman" w:hAnsi="Times New Roman" w:eastAsia="黑体" w:cs="Times New Roman"/>
          <w:sz w:val="24"/>
        </w:rPr>
        <w:t xml:space="preserve">附件：           </w:t>
      </w:r>
    </w:p>
    <w:p>
      <w:pPr>
        <w:spacing w:line="360" w:lineRule="exact"/>
        <w:ind w:left="213" w:leftChars="-202" w:right="237" w:rightChars="113" w:hanging="637" w:hangingChars="177"/>
        <w:jc w:val="center"/>
        <w:rPr>
          <w:rFonts w:hint="default" w:ascii="Times New Roman" w:hAnsi="Times New Roman" w:eastAsia="黑体" w:cs="Times New Roman"/>
          <w:bCs/>
          <w:sz w:val="36"/>
          <w:szCs w:val="36"/>
        </w:rPr>
      </w:pPr>
    </w:p>
    <w:p>
      <w:pP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lang w:val="en-US" w:eastAsia="zh-CN"/>
        </w:rPr>
        <w:t xml:space="preserve">  </w:t>
      </w:r>
      <w:r>
        <w:rPr>
          <w:rFonts w:hint="default" w:ascii="Times New Roman" w:hAnsi="Times New Roman" w:eastAsia="黑体" w:cs="Times New Roman"/>
          <w:bCs/>
          <w:sz w:val="36"/>
          <w:szCs w:val="36"/>
        </w:rPr>
        <w:t>邵阳学院202</w:t>
      </w:r>
      <w:r>
        <w:rPr>
          <w:rFonts w:hint="eastAsia" w:ascii="Times New Roman" w:hAnsi="Times New Roman" w:eastAsia="黑体" w:cs="Times New Roman"/>
          <w:bCs/>
          <w:sz w:val="36"/>
          <w:szCs w:val="36"/>
          <w:lang w:val="en-US" w:eastAsia="zh-CN"/>
        </w:rPr>
        <w:t>5</w:t>
      </w:r>
      <w:r>
        <w:rPr>
          <w:rFonts w:hint="default" w:ascii="Times New Roman" w:hAnsi="Times New Roman" w:eastAsia="黑体" w:cs="Times New Roman"/>
          <w:bCs/>
          <w:sz w:val="36"/>
          <w:szCs w:val="36"/>
        </w:rPr>
        <w:t>年</w:t>
      </w:r>
      <w:r>
        <w:rPr>
          <w:rFonts w:hint="eastAsia" w:ascii="Times New Roman" w:hAnsi="Times New Roman" w:eastAsia="黑体" w:cs="Times New Roman"/>
          <w:bCs/>
          <w:sz w:val="36"/>
          <w:szCs w:val="36"/>
          <w:lang w:val="en-US" w:eastAsia="zh-CN"/>
        </w:rPr>
        <w:t>秋</w:t>
      </w:r>
      <w:r>
        <w:rPr>
          <w:rFonts w:hint="default" w:ascii="Times New Roman" w:hAnsi="Times New Roman" w:eastAsia="黑体" w:cs="Times New Roman"/>
          <w:bCs/>
          <w:sz w:val="36"/>
          <w:szCs w:val="36"/>
        </w:rPr>
        <w:t>季</w:t>
      </w:r>
      <w:r>
        <w:rPr>
          <w:rFonts w:hint="default" w:ascii="Times New Roman" w:hAnsi="Times New Roman" w:eastAsia="黑体" w:cs="Times New Roman"/>
          <w:bCs/>
          <w:sz w:val="36"/>
          <w:szCs w:val="36"/>
          <w:lang w:eastAsia="zh-CN"/>
        </w:rPr>
        <w:t>批准</w:t>
      </w:r>
      <w:r>
        <w:rPr>
          <w:rFonts w:hint="default" w:ascii="Times New Roman" w:hAnsi="Times New Roman" w:eastAsia="黑体" w:cs="Times New Roman"/>
          <w:bCs/>
          <w:sz w:val="36"/>
          <w:szCs w:val="36"/>
        </w:rPr>
        <w:t>学生转专业学生名单</w:t>
      </w:r>
    </w:p>
    <w:tbl>
      <w:tblPr>
        <w:tblStyle w:val="3"/>
        <w:tblW w:w="88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5"/>
        <w:gridCol w:w="1063"/>
        <w:gridCol w:w="2430"/>
        <w:gridCol w:w="246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b/>
                <w:bCs/>
                <w:i w:val="0"/>
                <w:iCs w:val="0"/>
                <w:color w:val="000000"/>
                <w:sz w:val="24"/>
                <w:szCs w:val="24"/>
                <w:u w:val="none"/>
              </w:rPr>
            </w:pPr>
            <w:r>
              <w:rPr>
                <w:rFonts w:hint="eastAsia" w:ascii="SimSun" w:hAnsi="SimSun" w:eastAsia="SimSun" w:cs="SimSun"/>
                <w:b/>
                <w:bCs/>
                <w:i w:val="0"/>
                <w:iCs w:val="0"/>
                <w:color w:val="000000"/>
                <w:kern w:val="0"/>
                <w:sz w:val="24"/>
                <w:szCs w:val="24"/>
                <w:u w:val="none"/>
                <w:lang w:val="en-US" w:eastAsia="zh-CN" w:bidi="ar"/>
              </w:rPr>
              <w:t>学号</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b/>
                <w:bCs/>
                <w:i w:val="0"/>
                <w:iCs w:val="0"/>
                <w:color w:val="000000"/>
                <w:sz w:val="24"/>
                <w:szCs w:val="24"/>
                <w:u w:val="none"/>
              </w:rPr>
            </w:pPr>
            <w:r>
              <w:rPr>
                <w:rFonts w:hint="eastAsia" w:ascii="SimSun" w:hAnsi="SimSun" w:eastAsia="SimSun" w:cs="SimSun"/>
                <w:b/>
                <w:bCs/>
                <w:i w:val="0"/>
                <w:iCs w:val="0"/>
                <w:color w:val="000000"/>
                <w:kern w:val="0"/>
                <w:sz w:val="24"/>
                <w:szCs w:val="24"/>
                <w:u w:val="none"/>
                <w:lang w:val="en-US" w:eastAsia="zh-CN" w:bidi="ar"/>
              </w:rPr>
              <w:t>姓名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b/>
                <w:bCs/>
                <w:i w:val="0"/>
                <w:iCs w:val="0"/>
                <w:color w:val="000000"/>
                <w:sz w:val="24"/>
                <w:szCs w:val="24"/>
                <w:u w:val="none"/>
              </w:rPr>
            </w:pPr>
            <w:r>
              <w:rPr>
                <w:rFonts w:hint="eastAsia" w:ascii="SimSun" w:hAnsi="SimSun" w:eastAsia="SimSun" w:cs="SimSun"/>
                <w:b/>
                <w:bCs/>
                <w:i w:val="0"/>
                <w:iCs w:val="0"/>
                <w:color w:val="000000"/>
                <w:kern w:val="0"/>
                <w:sz w:val="24"/>
                <w:szCs w:val="24"/>
                <w:u w:val="none"/>
                <w:lang w:val="en-US" w:eastAsia="zh-CN" w:bidi="ar"/>
              </w:rPr>
              <w:t>转出专业</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b/>
                <w:bCs/>
                <w:i w:val="0"/>
                <w:iCs w:val="0"/>
                <w:color w:val="000000"/>
                <w:sz w:val="24"/>
                <w:szCs w:val="24"/>
                <w:u w:val="none"/>
              </w:rPr>
            </w:pPr>
            <w:r>
              <w:rPr>
                <w:rFonts w:hint="eastAsia" w:ascii="SimSun" w:hAnsi="SimSun" w:eastAsia="SimSun" w:cs="SimSun"/>
                <w:b/>
                <w:bCs/>
                <w:i w:val="0"/>
                <w:iCs w:val="0"/>
                <w:color w:val="000000"/>
                <w:kern w:val="0"/>
                <w:sz w:val="24"/>
                <w:szCs w:val="24"/>
                <w:u w:val="none"/>
                <w:lang w:val="en-US" w:eastAsia="zh-CN" w:bidi="ar"/>
              </w:rPr>
              <w:t>转入专业</w:t>
            </w:r>
          </w:p>
        </w:tc>
        <w:tc>
          <w:tcPr>
            <w:tcW w:w="151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b/>
                <w:bCs/>
                <w:i w:val="0"/>
                <w:iCs w:val="0"/>
                <w:color w:val="000000"/>
                <w:sz w:val="24"/>
                <w:szCs w:val="24"/>
                <w:u w:val="none"/>
              </w:rPr>
            </w:pPr>
            <w:r>
              <w:rPr>
                <w:rFonts w:hint="eastAsia" w:ascii="SimSun" w:hAnsi="SimSun" w:eastAsia="SimSun" w:cs="SimSun"/>
                <w:b/>
                <w:bCs/>
                <w:i w:val="0"/>
                <w:iCs w:val="0"/>
                <w:color w:val="000000"/>
                <w:kern w:val="0"/>
                <w:sz w:val="24"/>
                <w:szCs w:val="24"/>
                <w:u w:val="none"/>
                <w:lang w:val="en-US" w:eastAsia="zh-CN" w:bidi="ar"/>
              </w:rPr>
              <w:t>新学号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2440204003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范寒</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旅游管理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大数据管理与应用</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2440206180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2441001046</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李嘉雄</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城乡规划</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大数据管理与应用</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2440206181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2440302075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吴梓轩</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社会体育指导与管理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体育教育</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2440301168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2440901024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李钰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化学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英语</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2540501001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2540501002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曹婕</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智能制造工程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英语</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2540501002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2442302021</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宋明桦</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风景园林</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地理科学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2442303111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2440502051</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曾少杰</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商务英语</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地理科学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2442303112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2440502018</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奉婷</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商务英语</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园林</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2442301127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2441102122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高艺津</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能源与动力工程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电气工程及其自动化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2441201290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2441302016</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方俊杰</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电子信息工程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电气工程及其自动化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2441201291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2441202050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杨松洁</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自动化</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电气工程及其自动化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2441201292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2440206040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唐佳颖</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大数据管理与应用</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电气工程及其自动化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2441201293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2441002094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朱乐</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土木工程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电气工程及其自动化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2441201294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2441103049</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张珽毓</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智能制造工程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电气工程及其自动化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2441201296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2441202020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唐钰淳</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自动化</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电气工程及其自动化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2441201297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2441002220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刘心雨</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土木工程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电气工程及其自动化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2441201298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2441302031</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黄智能</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电子信息工程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电气工程及其自动化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2441201299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2441101035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陈昱龙</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机械设计制造及其自动化</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电气工程及其自动化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2441201300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2441202027</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蒋侑延</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自动化</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电气工程及其自动化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2441201301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2440902044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涂东旭</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化学工程与工艺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电气工程及其自动化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2441201302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2441305016</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陈子祺</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物联网工程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电气工程及其自动化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2441201303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2441202034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唐夷</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自动化</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电气工程及其自动化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2441201304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2441102046</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周更兴</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能源与动力工程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电气工程及其自动化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2441201305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2440206150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敬芸芸</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大数据管理与应用</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电气工程及其自动化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2441201306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2441305015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陈远航</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物联网工程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电气工程及其自动化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2541201148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2440801054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刘昱宏</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数学与应用数学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电气工程及其自动化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2541201149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2440206080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吴骏翔</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大数据管理与应用</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电气工程及其自动化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2541201247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2441901072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肖亮雄</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医学检验技术</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电气工程及其自动化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2541201248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2441701134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敬云翔</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护理学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电气工程及其自动化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2541201348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2441902016</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谢成林</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医学影像技术</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电气工程及其自动化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2541201349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2441002167</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李海慧</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土木工程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电子信息工程</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2441302175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2441002178</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胡雪莲</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土木工程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电子信息工程</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2441302176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2441002177</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陈玉婷</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土木工程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电子信息工程</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2441302177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2441002166</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周仪</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土木工程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电子信息工程</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2441302178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2441002199</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梁佳怡</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土木工程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电子信息工程</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2441302179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2441305119</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魏凤仪</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物联网工程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计算机科学与技术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2441304154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2441001017</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刘用</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城乡规划</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计算机科学与技术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2441304155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2441305013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陈康</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物联网工程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计算机科学与技术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2441304156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2441002221</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刘彦驰</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土木工程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计算机科学与技术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2441304157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2441301052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谢嘉宇</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信息与计算科学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计算机科学与技术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2441304158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2441002066</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范烨</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土木工程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计算机科学与技术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2441304159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2441002003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曾旅轩</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土木工程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物联网工程</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2441305156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2441801244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李蔚冉</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药学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人工智能</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2541306062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2440901018</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罗俊杰</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化学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通信工程</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2541302166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2441301010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邓永康</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信息与计算科学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人工智能</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2541306061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2440201099</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胡玲</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国际经济与贸易</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会计学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2441402228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2440205030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杨婷</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金融工程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会计学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2441402229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2441403025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李思颖</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资产评估</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会计学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2441402225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2440403040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陈依贝</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新闻学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会计学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2541402002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2441403037</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陈慧</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资产评估</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会计学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2441402226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2440201057</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贺怡</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国际经济与贸易</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会计学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2441402230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2440201020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王湘华</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国际经济与贸易</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会计学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2441402231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2441001007</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谭丝然</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城乡规划</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会计学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2441402232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2440206074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许锦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大数据管理与应用</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会计学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2541402001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2442302014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刘晓蔚</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风景园林</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会计学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2441402227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2440206034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陈阳阳</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大数据管理与应用</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法学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2441401178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2442302001</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赵贵荣</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风景园林</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法学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2441401179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2440204028</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李秋月</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旅游管理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法学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2441401180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2440402026</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冒雅洁</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历史学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法学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2441401181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2442302030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陈静雯</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风景园林</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法学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2441401182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2440201090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周颖</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国际经济与贸易</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法学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2441401183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2441403006</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王宇杰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资产评估</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法学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2441401184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2442302036</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施嘉豪</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风景园林</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法学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2441401185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2440201061</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魏雯婷</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国际经济与贸易</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法学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2441401186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2440204007</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罗烨淇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旅游管理</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法学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2541401001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2441702027</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杨昊天</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助产学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护理学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2441701340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2441702024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郭天恩</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助产学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护理学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2441701341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2441902025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顾问</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医学影像技术</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2441801206</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黄小展</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药学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2441901157</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袁才雲</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医学检验技术</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2441801032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何涛</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药学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2441801199</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陈展鹏</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药学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2441901101</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张瑜</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医学检验技术</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2441901129</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寇彤彤</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医学检验技术</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2441801050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易子格</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药学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2440903002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李雅轩</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食品质量与安全</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2441801195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黄佳怡</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药学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2441701152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彭爱丽</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护理学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2441801186</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汪睿敏</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药学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2441305111</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汪瑜铭</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物联网工程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2441902024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肖铭城</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医学影像技术</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2441902014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吴微</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医学影像技术</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2441801177</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岳童</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药学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2441901030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田梦圆</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医学检验技术</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2441701157</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刘金林</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护理学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2441901064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向凌鋆</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医学检验技术</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2341801183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魏必治</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药学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2441902054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顾婧怡</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医学影像技术</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2441902046</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吴欣欣</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医学影像技术</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2441701096</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谭怡洁</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护理学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2441702025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闵宇彤</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助产学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2441701154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曾曦</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护理学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临床医学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2542201297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2441004002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吴佳慧</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测绘工程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医学影像技术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2441902063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2441002039</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许文静</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土木工程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医学影像技术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2541902058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2441002159</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张紫嫣</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土木工程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医学检验技术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2441901200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2441002207</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陈思宇</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土木工程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康复治疗学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2541903059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2441002181</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杨玉洁</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土木工程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康复治疗学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2541903060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2441701130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高雪峰</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护理学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医学影像技术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2441902064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2440502034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蒙丽岚</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商务英语</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医学影像技术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2541902059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2441002005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谭昊鹏</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土木工程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医学检验技术</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2541901157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2440206113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郑思彤</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大数据管理与应用</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数学与应用数学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2540801103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2441004074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舒钧河</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测绘工程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物理学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2440802107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2441006029</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孙毅</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智能建造</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制药工程</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2440906056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2441801182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王庆桥</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药学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化学工程与工艺</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2540902066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2340201064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陶甚帆</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国际经济与贸易</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汉语言文学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2440401145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2442301006</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袁超</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园林</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汉语言文学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2440401146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2441001018</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孙钰琳</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城乡规划</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汉语言文学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2440401147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2441002156</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戴欣怡</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土木工程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汉语言文学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2440401148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2440501025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王璐</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英语</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汉语言文学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2440401149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2440501096</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谭小兰</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英语</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汉语言文学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2440401150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2440501114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戴婷</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英语</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汉语言文学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2440401151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2440501204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谭涛</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英语</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汉语言文学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2440401152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2440501093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韩园园</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英语</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汉语言文学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2440401153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2440501098</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李瑞玲</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英语</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汉语言文学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2440401154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2440502032</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刘子怡</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商务英语</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汉语言文学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2440401155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2440403070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朱嘉乐</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新闻学</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汉语言文学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2540401110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2441002113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吴建衡</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土木工程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机械设计制造及其自动化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2441101292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2441002160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何诗琪</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土木工程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机械设计制造及其自动化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2441101293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2441002104</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张锐</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土木工程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机械设计制造及其自动化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2441101294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2441002163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孙蝶</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土木工程</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机械设计制造及其自动化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2441101295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2441006036</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龙浩斌</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智能建造</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机械设计制造及其自动化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2441101296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2441901016</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杨斌</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医学检验技术</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机械设计制造及其自动化</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2541101295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2440502033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黄紫湫</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商务英语</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药学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2441801246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2440702007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曹钰莹</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环境设计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视觉传达设计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2440703114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2440702020</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李琳</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环境设计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视觉传达设计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2440703115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2440702028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吉好好</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环境设计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视觉传达设计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2440703116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2440702032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高韵兹</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环境设计</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视觉传达设计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2440703118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2242002073</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孙晨</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机械设计制造及其自动化</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通信工程</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2442001117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2242002035</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姚岚</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机械设计制造及其自动化</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通信工程</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SimSun" w:hAnsi="SimSun" w:eastAsia="SimSun" w:cs="SimSun"/>
                <w:i w:val="0"/>
                <w:iCs w:val="0"/>
                <w:color w:val="000000"/>
                <w:sz w:val="20"/>
                <w:szCs w:val="20"/>
                <w:u w:val="none"/>
              </w:rPr>
            </w:pPr>
            <w:r>
              <w:rPr>
                <w:rFonts w:hint="eastAsia" w:ascii="SimSun" w:hAnsi="SimSun" w:eastAsia="SimSun" w:cs="SimSun"/>
                <w:i w:val="0"/>
                <w:iCs w:val="0"/>
                <w:color w:val="000000"/>
                <w:kern w:val="0"/>
                <w:sz w:val="20"/>
                <w:szCs w:val="20"/>
                <w:u w:val="none"/>
                <w:lang w:val="en-US" w:eastAsia="zh-CN" w:bidi="ar"/>
              </w:rPr>
              <w:t>2342001115</w:t>
            </w:r>
          </w:p>
        </w:tc>
      </w:tr>
    </w:tbl>
    <w:p>
      <w:pPr>
        <w:rPr>
          <w:rFonts w:hint="default" w:ascii="Times New Roman" w:hAnsi="Times New Roman" w:eastAsia="黑体" w:cs="Times New Roman"/>
          <w:bCs/>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黑体">
    <w:altName w:val="汉仪中黑KW"/>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altName w:val="Kingsoft Confetti"/>
    <w:panose1 w:val="05000000000000000000"/>
    <w:charset w:val="00"/>
    <w:family w:val="auto"/>
    <w:pitch w:val="default"/>
    <w:sig w:usb0="00000000" w:usb1="1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黑体">
    <w:altName w:val="汉仪中黑KW"/>
    <w:panose1 w:val="02010609060101010101"/>
    <w:charset w:val="86"/>
    <w:family w:val="auto"/>
    <w:pitch w:val="default"/>
    <w:sig w:usb0="00000000" w:usb1="00000000" w:usb2="00000016" w:usb3="00000000" w:csb0="00040001" w:csb1="00000000"/>
  </w:font>
  <w:font w:name="仿宋">
    <w:altName w:val="汉仪仿宋KW"/>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right"/>
                            <w:rPr>
                              <w:rFonts w:hint="eastAsia"/>
                            </w:rPr>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jc w:val="right"/>
                      <w:rPr>
                        <w:rFonts w:hint="eastAsia"/>
                      </w:rPr>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303F2"/>
    <w:rsid w:val="00F35825"/>
    <w:rsid w:val="0E56610E"/>
    <w:rsid w:val="171303F2"/>
    <w:rsid w:val="1AFA61EC"/>
    <w:rsid w:val="1C00413C"/>
    <w:rsid w:val="21143623"/>
    <w:rsid w:val="40E94FD5"/>
    <w:rsid w:val="51B31529"/>
    <w:rsid w:val="5C041D7C"/>
    <w:rsid w:val="61C1202A"/>
    <w:rsid w:val="73EFF975"/>
    <w:rsid w:val="77FD0773"/>
    <w:rsid w:val="79A74F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2582</Words>
  <Characters>4941</Characters>
  <Lines>0</Lines>
  <Paragraphs>0</Paragraphs>
  <TotalTime>52</TotalTime>
  <ScaleCrop>false</ScaleCrop>
  <LinksUpToDate>false</LinksUpToDate>
  <CharactersWithSpaces>4976</CharactersWithSpaces>
  <Application>WPS Writer</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2025-03-12T19:19:00Z</dcterms:created>
  <dc:creator>lint</dc:creator>
  <cp:lastModifiedBy>王不留行</cp:lastModifiedBy>
  <cp:lastPrinted>2025-03-12T22:54:00Z</cp:lastPrinted>
  <dcterms:modified xsi:type="dcterms:W3CDTF">2025-09-29T17:07:01Z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1033-0.0.0.0</vt:lpwstr>
  </property>
  <property fmtid="{D5CDD505-2E9C-101B-9397-08002B2CF9AE}" pid="3" name="ICV">
    <vt:lpwstr>803B05D1D2764B69B2F1B8CE83B72C8E_11</vt:lpwstr>
  </property>
  <property fmtid="{D5CDD505-2E9C-101B-9397-08002B2CF9AE}" pid="4" name="KSOTemplateDocerSaveRecord">
    <vt:lpwstr>eyJoZGlkIjoiYjU5NTkwZmYzYjZhOTU3NjVhNjg3YjVhOGU0YmJiNzciLCJ1c2VySWQiOiIyMTYwNDMyNTgifQ==</vt:lpwstr>
  </property>
</Properties>
</file>